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9C4F" w14:textId="77777777" w:rsidR="00A856A8" w:rsidRDefault="00A856A8" w:rsidP="00A856A8">
      <w:pPr>
        <w:jc w:val="center"/>
      </w:pPr>
      <w:bookmarkStart w:id="0" w:name="_GoBack"/>
      <w:bookmarkEnd w:id="0"/>
      <w:r>
        <w:rPr>
          <w:noProof/>
          <w:color w:val="0000FF"/>
          <w:lang w:eastAsia="en-GB"/>
        </w:rPr>
        <w:drawing>
          <wp:inline distT="0" distB="0" distL="0" distR="0" wp14:anchorId="137BFD61" wp14:editId="16B41E00">
            <wp:extent cx="3048000" cy="1257300"/>
            <wp:effectExtent l="0" t="0" r="0" b="0"/>
            <wp:docPr id="1" name="Picture 1" descr="Liverpool Hope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2F5B" w14:textId="77777777" w:rsidR="00A856A8" w:rsidRDefault="00A856A8" w:rsidP="00A856A8">
      <w:pPr>
        <w:jc w:val="center"/>
      </w:pPr>
    </w:p>
    <w:p w14:paraId="11B799CB" w14:textId="77777777" w:rsidR="00A856A8" w:rsidRDefault="00A856A8" w:rsidP="00A856A8">
      <w:pPr>
        <w:jc w:val="center"/>
      </w:pPr>
    </w:p>
    <w:p w14:paraId="4B93AB28" w14:textId="77777777" w:rsidR="00A856A8" w:rsidRDefault="00A856A8" w:rsidP="00A856A8">
      <w:pPr>
        <w:jc w:val="center"/>
      </w:pPr>
    </w:p>
    <w:p w14:paraId="7B19F006" w14:textId="77777777" w:rsidR="00A856A8" w:rsidRDefault="00A856A8" w:rsidP="00A856A8">
      <w:pPr>
        <w:jc w:val="center"/>
      </w:pPr>
    </w:p>
    <w:p w14:paraId="2D1A15DC" w14:textId="77777777" w:rsidR="00A856A8" w:rsidRDefault="00A856A8" w:rsidP="00A856A8">
      <w:pPr>
        <w:jc w:val="center"/>
      </w:pPr>
    </w:p>
    <w:p w14:paraId="5CC5602D" w14:textId="77777777" w:rsidR="00A856A8" w:rsidRDefault="00A856A8" w:rsidP="00A856A8">
      <w:pPr>
        <w:jc w:val="center"/>
      </w:pPr>
    </w:p>
    <w:p w14:paraId="1B079496" w14:textId="77777777" w:rsidR="00A856A8" w:rsidRDefault="00A856A8" w:rsidP="00A856A8">
      <w:pPr>
        <w:jc w:val="center"/>
      </w:pPr>
    </w:p>
    <w:p w14:paraId="0CDC0A19" w14:textId="77777777" w:rsidR="00A856A8" w:rsidRPr="00A538ED" w:rsidRDefault="00A856A8" w:rsidP="00A856A8">
      <w:pPr>
        <w:jc w:val="center"/>
        <w:rPr>
          <w:color w:val="FF0000"/>
          <w:sz w:val="72"/>
        </w:rPr>
      </w:pPr>
      <w:r w:rsidRPr="00A538ED">
        <w:rPr>
          <w:color w:val="FF0000"/>
          <w:sz w:val="72"/>
        </w:rPr>
        <w:t xml:space="preserve">EQUALITY AND DIVERSITY STAFF DATA REPORT </w:t>
      </w:r>
    </w:p>
    <w:p w14:paraId="707C1F1F" w14:textId="33D02E9C" w:rsidR="00A856A8" w:rsidRDefault="00EE530A" w:rsidP="00A856A8">
      <w:pPr>
        <w:jc w:val="center"/>
        <w:rPr>
          <w:color w:val="FF0000"/>
          <w:sz w:val="72"/>
        </w:rPr>
      </w:pPr>
      <w:r>
        <w:rPr>
          <w:color w:val="FF0000"/>
          <w:sz w:val="72"/>
        </w:rPr>
        <w:t>2019-20</w:t>
      </w:r>
    </w:p>
    <w:p w14:paraId="64C2D162" w14:textId="77777777" w:rsidR="00A856A8" w:rsidRDefault="00A856A8" w:rsidP="00A856A8">
      <w:pPr>
        <w:jc w:val="center"/>
        <w:rPr>
          <w:color w:val="FF0000"/>
          <w:sz w:val="72"/>
        </w:rPr>
      </w:pPr>
    </w:p>
    <w:p w14:paraId="20E796D0" w14:textId="77777777" w:rsidR="00A856A8" w:rsidRDefault="00A856A8" w:rsidP="00A856A8">
      <w:pPr>
        <w:jc w:val="center"/>
        <w:rPr>
          <w:color w:val="FF0000"/>
          <w:sz w:val="72"/>
        </w:rPr>
      </w:pPr>
    </w:p>
    <w:p w14:paraId="6F9166DA" w14:textId="77777777" w:rsidR="00A856A8" w:rsidRDefault="00A856A8" w:rsidP="00A856A8">
      <w:pPr>
        <w:jc w:val="center"/>
        <w:rPr>
          <w:color w:val="FF0000"/>
          <w:sz w:val="72"/>
        </w:rPr>
      </w:pPr>
    </w:p>
    <w:p w14:paraId="3823A95D" w14:textId="77777777" w:rsidR="00A856A8" w:rsidRDefault="00A856A8" w:rsidP="00A856A8">
      <w:pPr>
        <w:jc w:val="center"/>
        <w:rPr>
          <w:color w:val="FF0000"/>
          <w:sz w:val="72"/>
        </w:rPr>
      </w:pPr>
    </w:p>
    <w:p w14:paraId="4B252B7A" w14:textId="77777777" w:rsidR="00A856A8" w:rsidRDefault="00A856A8" w:rsidP="00A856A8">
      <w:pPr>
        <w:jc w:val="center"/>
        <w:rPr>
          <w:color w:val="FF0000"/>
          <w:sz w:val="72"/>
        </w:rPr>
      </w:pPr>
    </w:p>
    <w:p w14:paraId="14C27C98" w14:textId="0EFF9E7C" w:rsidR="00EB6569" w:rsidRPr="00EB6569" w:rsidRDefault="00EB6569" w:rsidP="00A856A8">
      <w:pPr>
        <w:rPr>
          <w:b/>
          <w:sz w:val="40"/>
          <w:szCs w:val="40"/>
        </w:rPr>
      </w:pPr>
      <w:r w:rsidRPr="00EB6569">
        <w:rPr>
          <w:b/>
          <w:sz w:val="40"/>
          <w:szCs w:val="40"/>
        </w:rPr>
        <w:lastRenderedPageBreak/>
        <w:t>In</w:t>
      </w:r>
      <w:r>
        <w:rPr>
          <w:b/>
          <w:sz w:val="40"/>
          <w:szCs w:val="40"/>
        </w:rPr>
        <w:t>t</w:t>
      </w:r>
      <w:r w:rsidRPr="00EB6569">
        <w:rPr>
          <w:b/>
          <w:sz w:val="40"/>
          <w:szCs w:val="40"/>
        </w:rPr>
        <w:t>roduction</w:t>
      </w:r>
    </w:p>
    <w:p w14:paraId="20FEB0FE" w14:textId="77777777" w:rsidR="00EB6569" w:rsidRDefault="00EB6569" w:rsidP="00A856A8">
      <w:pPr>
        <w:rPr>
          <w:sz w:val="24"/>
          <w:szCs w:val="24"/>
        </w:rPr>
      </w:pPr>
    </w:p>
    <w:p w14:paraId="6C01C73A" w14:textId="04328400" w:rsidR="00A856A8" w:rsidRDefault="00A856A8" w:rsidP="00A856A8">
      <w:pPr>
        <w:rPr>
          <w:sz w:val="24"/>
          <w:szCs w:val="24"/>
        </w:rPr>
      </w:pPr>
      <w:r>
        <w:rPr>
          <w:sz w:val="24"/>
          <w:szCs w:val="24"/>
        </w:rPr>
        <w:t>This report provides Equality and Diversity data in relation to staff at Liverpool Hope Universi</w:t>
      </w:r>
      <w:r w:rsidR="000A70F9">
        <w:rPr>
          <w:sz w:val="24"/>
          <w:szCs w:val="24"/>
        </w:rPr>
        <w:t>ty for the academic year 2019-20</w:t>
      </w:r>
      <w:r>
        <w:rPr>
          <w:sz w:val="24"/>
          <w:szCs w:val="24"/>
        </w:rPr>
        <w:t xml:space="preserve">.  </w:t>
      </w:r>
    </w:p>
    <w:p w14:paraId="1B44E918" w14:textId="43D3AED7" w:rsidR="00A856A8" w:rsidRDefault="00A856A8" w:rsidP="00A856A8">
      <w:pPr>
        <w:rPr>
          <w:sz w:val="24"/>
          <w:szCs w:val="24"/>
        </w:rPr>
      </w:pPr>
      <w:r>
        <w:rPr>
          <w:sz w:val="24"/>
          <w:szCs w:val="24"/>
        </w:rPr>
        <w:t xml:space="preserve">The data is benchmarked against Advance </w:t>
      </w:r>
      <w:proofErr w:type="gramStart"/>
      <w:r>
        <w:rPr>
          <w:sz w:val="24"/>
          <w:szCs w:val="24"/>
        </w:rPr>
        <w:t>HE’s</w:t>
      </w:r>
      <w:proofErr w:type="gramEnd"/>
      <w:r>
        <w:rPr>
          <w:sz w:val="24"/>
          <w:szCs w:val="24"/>
        </w:rPr>
        <w:t xml:space="preserve"> latest “Equality in higher educati</w:t>
      </w:r>
      <w:r w:rsidR="000A70F9">
        <w:rPr>
          <w:sz w:val="24"/>
          <w:szCs w:val="24"/>
        </w:rPr>
        <w:t>on staff statistical report 2020</w:t>
      </w:r>
      <w:r>
        <w:rPr>
          <w:sz w:val="24"/>
          <w:szCs w:val="24"/>
        </w:rPr>
        <w:t>” which analyses the</w:t>
      </w:r>
      <w:r w:rsidR="000A70F9">
        <w:rPr>
          <w:sz w:val="24"/>
          <w:szCs w:val="24"/>
        </w:rPr>
        <w:t xml:space="preserve"> academic workforce for 2018-19</w:t>
      </w:r>
      <w:r w:rsidR="008E3E99">
        <w:rPr>
          <w:sz w:val="24"/>
          <w:szCs w:val="24"/>
        </w:rPr>
        <w:t>.</w:t>
      </w:r>
    </w:p>
    <w:p w14:paraId="3DAEFC49" w14:textId="236536F5" w:rsidR="006727CD" w:rsidRDefault="008E3E99" w:rsidP="00A856A8">
      <w:pPr>
        <w:rPr>
          <w:sz w:val="24"/>
          <w:szCs w:val="24"/>
        </w:rPr>
      </w:pPr>
      <w:r>
        <w:rPr>
          <w:sz w:val="24"/>
          <w:szCs w:val="24"/>
        </w:rPr>
        <w:t xml:space="preserve">The data is based on headcount rather than </w:t>
      </w:r>
      <w:proofErr w:type="spellStart"/>
      <w:r>
        <w:rPr>
          <w:sz w:val="24"/>
          <w:szCs w:val="24"/>
        </w:rPr>
        <w:t>f.t.e</w:t>
      </w:r>
      <w:proofErr w:type="spellEnd"/>
      <w:r>
        <w:rPr>
          <w:sz w:val="24"/>
          <w:szCs w:val="24"/>
        </w:rPr>
        <w:t>. and does not include temporary or hourly paid staff.</w:t>
      </w:r>
      <w:r w:rsidR="007C7E6E">
        <w:rPr>
          <w:sz w:val="24"/>
          <w:szCs w:val="24"/>
        </w:rPr>
        <w:t xml:space="preserve">  Total </w:t>
      </w:r>
      <w:r w:rsidR="000A70F9">
        <w:rPr>
          <w:sz w:val="24"/>
          <w:szCs w:val="24"/>
        </w:rPr>
        <w:t xml:space="preserve">staff </w:t>
      </w:r>
      <w:r w:rsidR="007C7E6E">
        <w:rPr>
          <w:sz w:val="24"/>
          <w:szCs w:val="24"/>
        </w:rPr>
        <w:t xml:space="preserve">headcount </w:t>
      </w:r>
      <w:r w:rsidR="000A70F9">
        <w:rPr>
          <w:sz w:val="24"/>
          <w:szCs w:val="24"/>
        </w:rPr>
        <w:t>is 749</w:t>
      </w:r>
    </w:p>
    <w:p w14:paraId="7D1149B1" w14:textId="77777777" w:rsidR="008E3E99" w:rsidRPr="00A856A8" w:rsidRDefault="008E3E99" w:rsidP="00A856A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D13AC2" w14:paraId="6C69347E" w14:textId="77777777" w:rsidTr="00D13AC2">
        <w:tc>
          <w:tcPr>
            <w:tcW w:w="2689" w:type="dxa"/>
          </w:tcPr>
          <w:p w14:paraId="1B450EF4" w14:textId="77777777" w:rsidR="00D13AC2" w:rsidRPr="005F117C" w:rsidRDefault="00D13AC2">
            <w:pPr>
              <w:rPr>
                <w:b/>
              </w:rPr>
            </w:pPr>
            <w:r w:rsidRPr="005F117C">
              <w:rPr>
                <w:b/>
              </w:rPr>
              <w:t>BENCHMARKING</w:t>
            </w:r>
          </w:p>
          <w:p w14:paraId="435B5FA9" w14:textId="77777777" w:rsidR="00D13AC2" w:rsidRPr="005F117C" w:rsidRDefault="00D13AC2">
            <w:pPr>
              <w:rPr>
                <w:b/>
              </w:rPr>
            </w:pPr>
          </w:p>
        </w:tc>
        <w:tc>
          <w:tcPr>
            <w:tcW w:w="1819" w:type="dxa"/>
          </w:tcPr>
          <w:p w14:paraId="2371B901" w14:textId="77777777" w:rsidR="00D13AC2" w:rsidRPr="005F117C" w:rsidRDefault="00D13AC2" w:rsidP="00D13AC2">
            <w:pPr>
              <w:jc w:val="center"/>
              <w:rPr>
                <w:b/>
              </w:rPr>
            </w:pPr>
            <w:r w:rsidRPr="005F117C">
              <w:rPr>
                <w:b/>
              </w:rPr>
              <w:t>Known Disability</w:t>
            </w:r>
          </w:p>
        </w:tc>
        <w:tc>
          <w:tcPr>
            <w:tcW w:w="2254" w:type="dxa"/>
          </w:tcPr>
          <w:p w14:paraId="5CD31056" w14:textId="77777777" w:rsidR="00D13AC2" w:rsidRPr="005F117C" w:rsidRDefault="00D13AC2" w:rsidP="00D13AC2">
            <w:pPr>
              <w:jc w:val="center"/>
              <w:rPr>
                <w:b/>
              </w:rPr>
            </w:pPr>
            <w:r w:rsidRPr="005F117C">
              <w:rPr>
                <w:b/>
              </w:rPr>
              <w:t>Female</w:t>
            </w:r>
          </w:p>
        </w:tc>
        <w:tc>
          <w:tcPr>
            <w:tcW w:w="2254" w:type="dxa"/>
          </w:tcPr>
          <w:p w14:paraId="28269D31" w14:textId="4F93FDED" w:rsidR="00D13AC2" w:rsidRPr="005F117C" w:rsidRDefault="00622073" w:rsidP="00D13AC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D13AC2" w:rsidRPr="005F117C">
              <w:rPr>
                <w:b/>
              </w:rPr>
              <w:t>ME</w:t>
            </w:r>
            <w:r w:rsidR="002F1CA9">
              <w:rPr>
                <w:b/>
              </w:rPr>
              <w:t>*</w:t>
            </w:r>
          </w:p>
        </w:tc>
      </w:tr>
      <w:tr w:rsidR="00D13AC2" w14:paraId="7C4D7598" w14:textId="77777777" w:rsidTr="00D13AC2">
        <w:tc>
          <w:tcPr>
            <w:tcW w:w="2689" w:type="dxa"/>
          </w:tcPr>
          <w:p w14:paraId="1B0FC1DB" w14:textId="1666511C" w:rsidR="00D13AC2" w:rsidRDefault="00E51DD9">
            <w:r>
              <w:t>Advance HE 2018-19</w:t>
            </w:r>
            <w:r w:rsidR="00D13AC2">
              <w:t xml:space="preserve"> UK</w:t>
            </w:r>
            <w:r w:rsidR="004C3B75">
              <w:t>*</w:t>
            </w:r>
          </w:p>
          <w:p w14:paraId="468CC09B" w14:textId="77777777" w:rsidR="00D13AC2" w:rsidRDefault="00D13AC2"/>
        </w:tc>
        <w:tc>
          <w:tcPr>
            <w:tcW w:w="1819" w:type="dxa"/>
          </w:tcPr>
          <w:p w14:paraId="20C5D02E" w14:textId="4EAA1EF9" w:rsidR="00D13AC2" w:rsidRDefault="004C3B75" w:rsidP="00D13AC2">
            <w:pPr>
              <w:jc w:val="center"/>
            </w:pPr>
            <w:r>
              <w:t>5.3%</w:t>
            </w:r>
          </w:p>
        </w:tc>
        <w:tc>
          <w:tcPr>
            <w:tcW w:w="2254" w:type="dxa"/>
          </w:tcPr>
          <w:p w14:paraId="5FD02E54" w14:textId="2B287216" w:rsidR="00D13AC2" w:rsidRDefault="004C3B75" w:rsidP="00D13AC2">
            <w:pPr>
              <w:jc w:val="center"/>
            </w:pPr>
            <w:r>
              <w:t>54.6%</w:t>
            </w:r>
          </w:p>
        </w:tc>
        <w:tc>
          <w:tcPr>
            <w:tcW w:w="2254" w:type="dxa"/>
          </w:tcPr>
          <w:p w14:paraId="508E4081" w14:textId="204BC8E2" w:rsidR="00D13AC2" w:rsidRDefault="004C3B75" w:rsidP="00D13AC2">
            <w:pPr>
              <w:jc w:val="center"/>
            </w:pPr>
            <w:r>
              <w:t>10.3%</w:t>
            </w:r>
          </w:p>
        </w:tc>
      </w:tr>
      <w:tr w:rsidR="00D13AC2" w14:paraId="758FD4C5" w14:textId="77777777" w:rsidTr="007A13A4">
        <w:tc>
          <w:tcPr>
            <w:tcW w:w="2689" w:type="dxa"/>
            <w:shd w:val="clear" w:color="auto" w:fill="DBDBDB" w:themeFill="accent3" w:themeFillTint="66"/>
          </w:tcPr>
          <w:p w14:paraId="42A5352A" w14:textId="77777777" w:rsidR="00D13AC2" w:rsidRDefault="00D13AC2">
            <w:r>
              <w:t>Liverpool Hope University</w:t>
            </w:r>
          </w:p>
          <w:p w14:paraId="56F56A4B" w14:textId="77777777" w:rsidR="00D13AC2" w:rsidRDefault="00773534">
            <w:r>
              <w:t>2017-18</w:t>
            </w:r>
          </w:p>
        </w:tc>
        <w:tc>
          <w:tcPr>
            <w:tcW w:w="1819" w:type="dxa"/>
            <w:shd w:val="clear" w:color="auto" w:fill="DBDBDB" w:themeFill="accent3" w:themeFillTint="66"/>
          </w:tcPr>
          <w:p w14:paraId="1FFB9784" w14:textId="77777777" w:rsidR="00D13AC2" w:rsidRDefault="00773534" w:rsidP="00D13AC2">
            <w:pPr>
              <w:jc w:val="center"/>
            </w:pPr>
            <w:r>
              <w:t>8.0%</w:t>
            </w:r>
          </w:p>
        </w:tc>
        <w:tc>
          <w:tcPr>
            <w:tcW w:w="2254" w:type="dxa"/>
            <w:shd w:val="clear" w:color="auto" w:fill="DBDBDB" w:themeFill="accent3" w:themeFillTint="66"/>
          </w:tcPr>
          <w:p w14:paraId="11F05562" w14:textId="77777777" w:rsidR="00D13AC2" w:rsidRDefault="00773534" w:rsidP="00D13AC2">
            <w:pPr>
              <w:jc w:val="center"/>
            </w:pPr>
            <w:r>
              <w:t>59.0%</w:t>
            </w:r>
          </w:p>
        </w:tc>
        <w:tc>
          <w:tcPr>
            <w:tcW w:w="2254" w:type="dxa"/>
            <w:shd w:val="clear" w:color="auto" w:fill="DBDBDB" w:themeFill="accent3" w:themeFillTint="66"/>
          </w:tcPr>
          <w:p w14:paraId="4C084D71" w14:textId="77777777" w:rsidR="00D13AC2" w:rsidRDefault="00773534" w:rsidP="00D13AC2">
            <w:pPr>
              <w:jc w:val="center"/>
            </w:pPr>
            <w:r>
              <w:t>5.5%</w:t>
            </w:r>
          </w:p>
        </w:tc>
      </w:tr>
      <w:tr w:rsidR="00773534" w14:paraId="7215E0F3" w14:textId="77777777" w:rsidTr="007A13A4">
        <w:tc>
          <w:tcPr>
            <w:tcW w:w="2689" w:type="dxa"/>
            <w:shd w:val="clear" w:color="auto" w:fill="B4C6E7" w:themeFill="accent5" w:themeFillTint="66"/>
          </w:tcPr>
          <w:p w14:paraId="29E278E9" w14:textId="77777777" w:rsidR="00773534" w:rsidRDefault="00773534">
            <w:r>
              <w:t>Liverpool Hope University</w:t>
            </w:r>
          </w:p>
          <w:p w14:paraId="7045597C" w14:textId="77777777" w:rsidR="00773534" w:rsidRDefault="00773534">
            <w:r>
              <w:t>2018-19</w:t>
            </w:r>
          </w:p>
        </w:tc>
        <w:tc>
          <w:tcPr>
            <w:tcW w:w="1819" w:type="dxa"/>
            <w:shd w:val="clear" w:color="auto" w:fill="B4C6E7" w:themeFill="accent5" w:themeFillTint="66"/>
          </w:tcPr>
          <w:p w14:paraId="2F86D7E5" w14:textId="77777777" w:rsidR="00773534" w:rsidRDefault="00773534" w:rsidP="00D13AC2">
            <w:pPr>
              <w:jc w:val="center"/>
            </w:pPr>
            <w:r>
              <w:t>12.0%</w:t>
            </w:r>
          </w:p>
        </w:tc>
        <w:tc>
          <w:tcPr>
            <w:tcW w:w="2254" w:type="dxa"/>
            <w:shd w:val="clear" w:color="auto" w:fill="B4C6E7" w:themeFill="accent5" w:themeFillTint="66"/>
          </w:tcPr>
          <w:p w14:paraId="63152AC1" w14:textId="77777777" w:rsidR="00773534" w:rsidRDefault="00773534" w:rsidP="00773534">
            <w:pPr>
              <w:jc w:val="center"/>
            </w:pPr>
            <w:r>
              <w:t>58.0%</w:t>
            </w:r>
          </w:p>
        </w:tc>
        <w:tc>
          <w:tcPr>
            <w:tcW w:w="2254" w:type="dxa"/>
            <w:shd w:val="clear" w:color="auto" w:fill="B4C6E7" w:themeFill="accent5" w:themeFillTint="66"/>
          </w:tcPr>
          <w:p w14:paraId="3E1621A7" w14:textId="77777777" w:rsidR="00773534" w:rsidRDefault="00773534" w:rsidP="00D13AC2">
            <w:pPr>
              <w:jc w:val="center"/>
            </w:pPr>
            <w:r>
              <w:t>5.35%</w:t>
            </w:r>
          </w:p>
        </w:tc>
      </w:tr>
      <w:tr w:rsidR="002E01A2" w14:paraId="4EA7C33F" w14:textId="77777777" w:rsidTr="007A13A4">
        <w:tc>
          <w:tcPr>
            <w:tcW w:w="2689" w:type="dxa"/>
            <w:shd w:val="clear" w:color="auto" w:fill="C5E0B3" w:themeFill="accent6" w:themeFillTint="66"/>
          </w:tcPr>
          <w:p w14:paraId="5A79B36A" w14:textId="1153199E" w:rsidR="002E01A2" w:rsidRDefault="002E01A2">
            <w:r>
              <w:t>Liverpool Hope University 2019-20</w:t>
            </w:r>
          </w:p>
          <w:p w14:paraId="24470B4B" w14:textId="14FA1EBB" w:rsidR="002E01A2" w:rsidRDefault="002E01A2"/>
        </w:tc>
        <w:tc>
          <w:tcPr>
            <w:tcW w:w="1819" w:type="dxa"/>
            <w:shd w:val="clear" w:color="auto" w:fill="C5E0B3" w:themeFill="accent6" w:themeFillTint="66"/>
          </w:tcPr>
          <w:p w14:paraId="5488F604" w14:textId="029F4DDF" w:rsidR="002E01A2" w:rsidRDefault="002E01A2" w:rsidP="00D13AC2">
            <w:pPr>
              <w:jc w:val="center"/>
            </w:pPr>
            <w:r>
              <w:t>11.8%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2552D304" w14:textId="39C94D5B" w:rsidR="002E01A2" w:rsidRDefault="002E01A2" w:rsidP="00773534">
            <w:pPr>
              <w:jc w:val="center"/>
            </w:pPr>
            <w:r>
              <w:t>59.2%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757618F1" w14:textId="64FFDF6F" w:rsidR="002E01A2" w:rsidRDefault="000E7A23" w:rsidP="00D13AC2">
            <w:pPr>
              <w:jc w:val="center"/>
            </w:pPr>
            <w:r>
              <w:t>5.00%</w:t>
            </w:r>
          </w:p>
        </w:tc>
      </w:tr>
    </w:tbl>
    <w:p w14:paraId="4C63CFF3" w14:textId="77777777" w:rsidR="00055F11" w:rsidRDefault="00055F11"/>
    <w:p w14:paraId="2C2D78EB" w14:textId="47E4E5C3" w:rsidR="005F117C" w:rsidRPr="004C3B75" w:rsidRDefault="004C3B75" w:rsidP="004C3B75">
      <w:pPr>
        <w:rPr>
          <w:rFonts w:cstheme="minorHAnsi"/>
          <w:sz w:val="24"/>
          <w:szCs w:val="24"/>
        </w:rPr>
      </w:pPr>
      <w:r w:rsidRPr="004C3B75">
        <w:rPr>
          <w:rFonts w:cstheme="minorHAnsi"/>
          <w:sz w:val="24"/>
          <w:szCs w:val="24"/>
        </w:rPr>
        <w:t>* Notes:</w:t>
      </w:r>
    </w:p>
    <w:p w14:paraId="42B0C9DE" w14:textId="2AA1C453" w:rsidR="004C3B75" w:rsidRPr="004C3B75" w:rsidRDefault="004C3B75" w:rsidP="004C3B7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3B75">
        <w:rPr>
          <w:rFonts w:cstheme="minorHAnsi"/>
          <w:sz w:val="24"/>
          <w:szCs w:val="24"/>
        </w:rPr>
        <w:t>Disability disclosure rates have increased across the sector over the last ten years but have remained lower among academic staff</w:t>
      </w:r>
    </w:p>
    <w:p w14:paraId="057ED0C1" w14:textId="58037648" w:rsidR="004C3B75" w:rsidRPr="004C3B75" w:rsidRDefault="004C3B75" w:rsidP="004C3B7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3B75">
        <w:rPr>
          <w:rFonts w:cstheme="minorHAnsi"/>
          <w:sz w:val="24"/>
          <w:szCs w:val="24"/>
        </w:rPr>
        <w:t>There has been an overall increase over the la</w:t>
      </w:r>
      <w:r w:rsidR="006B5AE7">
        <w:rPr>
          <w:rFonts w:cstheme="minorHAnsi"/>
          <w:sz w:val="24"/>
          <w:szCs w:val="24"/>
        </w:rPr>
        <w:t>st ten years in the number of B</w:t>
      </w:r>
      <w:r w:rsidRPr="004C3B75">
        <w:rPr>
          <w:rFonts w:cstheme="minorHAnsi"/>
          <w:sz w:val="24"/>
          <w:szCs w:val="24"/>
        </w:rPr>
        <w:t>ME staff in the sector but this increase continues to be in predominantly academic roles</w:t>
      </w:r>
    </w:p>
    <w:p w14:paraId="3E08BC3C" w14:textId="0624AF11" w:rsidR="004C3B75" w:rsidRPr="004C3B75" w:rsidRDefault="004C3B75" w:rsidP="004C3B7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C3B75">
        <w:rPr>
          <w:rFonts w:cstheme="minorHAnsi"/>
          <w:sz w:val="24"/>
          <w:szCs w:val="24"/>
        </w:rPr>
        <w:t xml:space="preserve">Women remain under-represented across the sector among academic staff, SET </w:t>
      </w:r>
      <w:r>
        <w:rPr>
          <w:rFonts w:cstheme="minorHAnsi"/>
          <w:sz w:val="24"/>
          <w:szCs w:val="24"/>
        </w:rPr>
        <w:t xml:space="preserve">(Science, Engineering and Technology) </w:t>
      </w:r>
      <w:r w:rsidRPr="004C3B75">
        <w:rPr>
          <w:rFonts w:cstheme="minorHAnsi"/>
          <w:sz w:val="24"/>
          <w:szCs w:val="24"/>
        </w:rPr>
        <w:t>subjects areas and senior management roles</w:t>
      </w:r>
    </w:p>
    <w:p w14:paraId="6845B5FB" w14:textId="7E676619" w:rsidR="00EB6569" w:rsidRDefault="00EB6569"/>
    <w:p w14:paraId="5FC4CFC1" w14:textId="66607695" w:rsidR="002F1CA9" w:rsidRPr="005608CC" w:rsidRDefault="00622073" w:rsidP="00622073">
      <w:pPr>
        <w:rPr>
          <w:rFonts w:ascii="Calibri" w:hAnsi="Calibri" w:cs="Calibri"/>
        </w:rPr>
      </w:pPr>
      <w:r w:rsidRPr="005608CC">
        <w:rPr>
          <w:rFonts w:ascii="Calibri" w:hAnsi="Calibri" w:cs="Calibri"/>
        </w:rPr>
        <w:t xml:space="preserve">* </w:t>
      </w:r>
      <w:r w:rsidR="005608CC" w:rsidRPr="005608CC">
        <w:rPr>
          <w:rFonts w:ascii="Calibri" w:hAnsi="Calibri" w:cs="Calibri"/>
        </w:rPr>
        <w:t>The University currently uses “BME” in line with Advance HE</w:t>
      </w:r>
      <w:r w:rsidR="005608CC">
        <w:rPr>
          <w:rFonts w:ascii="Calibri" w:hAnsi="Calibri" w:cs="Calibri"/>
        </w:rPr>
        <w:t xml:space="preserve"> guidance</w:t>
      </w:r>
      <w:r w:rsidR="005608CC" w:rsidRPr="005608CC">
        <w:rPr>
          <w:rFonts w:ascii="Calibri" w:hAnsi="Calibri" w:cs="Calibri"/>
          <w:color w:val="000000"/>
        </w:rPr>
        <w:t xml:space="preserve"> to ensure consistency with other public bodi</w:t>
      </w:r>
      <w:r w:rsidR="005608CC">
        <w:rPr>
          <w:rFonts w:ascii="Calibri" w:hAnsi="Calibri" w:cs="Calibri"/>
          <w:color w:val="000000"/>
        </w:rPr>
        <w:t>es and to benchmark data</w:t>
      </w:r>
    </w:p>
    <w:p w14:paraId="5F3FF81C" w14:textId="341E3E76" w:rsidR="00EB6569" w:rsidRPr="005608CC" w:rsidRDefault="00EB6569">
      <w:pPr>
        <w:rPr>
          <w:rFonts w:ascii="Calibri" w:hAnsi="Calibri" w:cs="Calibri"/>
        </w:rPr>
      </w:pPr>
    </w:p>
    <w:p w14:paraId="074F0B1D" w14:textId="7E6A0DA1" w:rsidR="00EB6569" w:rsidRDefault="00EB6569"/>
    <w:p w14:paraId="4599DF3C" w14:textId="3B15E37A" w:rsidR="00EB6569" w:rsidRDefault="00EB6569"/>
    <w:p w14:paraId="51C4A1A0" w14:textId="7F795CF3" w:rsidR="00EB6569" w:rsidRDefault="00EB6569"/>
    <w:p w14:paraId="21AFD64F" w14:textId="38639A48" w:rsidR="00EB6569" w:rsidRDefault="00EB6569"/>
    <w:p w14:paraId="6022A08F" w14:textId="77777777" w:rsidR="007B355A" w:rsidRDefault="007B355A"/>
    <w:p w14:paraId="074FC376" w14:textId="77777777" w:rsidR="00EB6569" w:rsidRDefault="00EB6569"/>
    <w:p w14:paraId="67848877" w14:textId="625475B2" w:rsidR="00152E17" w:rsidRPr="00EB6569" w:rsidRDefault="00EB6569">
      <w:pPr>
        <w:rPr>
          <w:sz w:val="40"/>
          <w:szCs w:val="40"/>
        </w:rPr>
      </w:pPr>
      <w:r w:rsidRPr="00EB6569">
        <w:rPr>
          <w:sz w:val="40"/>
          <w:szCs w:val="40"/>
        </w:rPr>
        <w:t>Age</w:t>
      </w:r>
    </w:p>
    <w:tbl>
      <w:tblPr>
        <w:tblW w:w="6097" w:type="dxa"/>
        <w:tblLook w:val="04A0" w:firstRow="1" w:lastRow="0" w:firstColumn="1" w:lastColumn="0" w:noHBand="0" w:noVBand="1"/>
      </w:tblPr>
      <w:tblGrid>
        <w:gridCol w:w="2560"/>
        <w:gridCol w:w="1268"/>
        <w:gridCol w:w="1134"/>
        <w:gridCol w:w="1135"/>
      </w:tblGrid>
      <w:tr w:rsidR="00EB6569" w:rsidRPr="00EB6569" w14:paraId="37293084" w14:textId="77777777" w:rsidTr="00EB6569">
        <w:trPr>
          <w:trHeight w:val="31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74EAC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Age - Academic Staff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DDAD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EA60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6569" w:rsidRPr="00EB6569" w14:paraId="79EF09C0" w14:textId="77777777" w:rsidTr="007A13A4">
        <w:trPr>
          <w:trHeight w:val="31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0CA9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4ED8350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2017-18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6D37EB0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6AAFEB9E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</w:tr>
      <w:tr w:rsidR="00EB6569" w:rsidRPr="00EB6569" w14:paraId="3869C922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0688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Under 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9456BF2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174AE2E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EEF9667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B6569" w:rsidRPr="00EB6569" w14:paraId="08794DA4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DD6A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21-30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21C10F5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9C384F6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&lt;5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1CD091E2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&lt;5</w:t>
            </w:r>
          </w:p>
        </w:tc>
      </w:tr>
      <w:tr w:rsidR="00EB6569" w:rsidRPr="00EB6569" w14:paraId="34721C37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4B72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31-40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9EF171A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4560D3F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4470AB3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88</w:t>
            </w:r>
          </w:p>
        </w:tc>
      </w:tr>
      <w:tr w:rsidR="00EB6569" w:rsidRPr="00EB6569" w14:paraId="27F553C7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3BF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41-50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6380C117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D7C6CDD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9694E81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106</w:t>
            </w:r>
          </w:p>
        </w:tc>
      </w:tr>
      <w:tr w:rsidR="00EB6569" w:rsidRPr="00EB6569" w14:paraId="629B55BD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B384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51-60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3542879A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458DEB5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7064B5B2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81</w:t>
            </w:r>
          </w:p>
        </w:tc>
      </w:tr>
      <w:tr w:rsidR="00EB6569" w:rsidRPr="00EB6569" w14:paraId="4CD4632C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1909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61-65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C0E6542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6F4F5989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22ABE53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26</w:t>
            </w:r>
          </w:p>
        </w:tc>
      </w:tr>
      <w:tr w:rsidR="00EB6569" w:rsidRPr="00EB6569" w14:paraId="2B8F7334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73D7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Over 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5281C550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77B6F7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35702D87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</w:t>
            </w:r>
          </w:p>
        </w:tc>
      </w:tr>
      <w:tr w:rsidR="00EB6569" w:rsidRPr="00EB6569" w14:paraId="2BCF3597" w14:textId="77777777" w:rsidTr="00EB6569">
        <w:trPr>
          <w:trHeight w:val="450"/>
        </w:trPr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5F9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0B8E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F69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AD68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6569" w:rsidRPr="00EB6569" w14:paraId="0B3291F9" w14:textId="77777777" w:rsidTr="00EB6569">
        <w:trPr>
          <w:trHeight w:val="450"/>
        </w:trPr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7AE48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5E47D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B4B34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0E1C9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6569" w:rsidRPr="00EB6569" w14:paraId="3F1BDCC7" w14:textId="77777777" w:rsidTr="00EB6569">
        <w:trPr>
          <w:trHeight w:val="312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A88B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Age - Support Staff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7FA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AB418" w14:textId="77777777" w:rsidR="00EB6569" w:rsidRPr="00EB6569" w:rsidRDefault="00EB6569" w:rsidP="00EB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B6569" w:rsidRPr="00EB6569" w14:paraId="590C4CC6" w14:textId="77777777" w:rsidTr="007A13A4">
        <w:trPr>
          <w:trHeight w:val="312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92E3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09CEB14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2017-18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6EF3253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0E7D613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2019-20</w:t>
            </w:r>
          </w:p>
        </w:tc>
      </w:tr>
      <w:tr w:rsidR="00EB6569" w:rsidRPr="00EB6569" w14:paraId="08B138C9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38C6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Under 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7F90D7FF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72BB4A32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161A440C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B6569" w:rsidRPr="00EB6569" w14:paraId="474B59F2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1E2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21-30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50C8AAE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0D311C2A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301240C4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71</w:t>
            </w:r>
          </w:p>
        </w:tc>
      </w:tr>
      <w:tr w:rsidR="00EB6569" w:rsidRPr="00EB6569" w14:paraId="7DD2A203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8257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31-40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4A830CE3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20922CAB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2C86B8C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80</w:t>
            </w:r>
          </w:p>
        </w:tc>
      </w:tr>
      <w:tr w:rsidR="00EB6569" w:rsidRPr="00EB6569" w14:paraId="7460B834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4A39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41-50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7922D5F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5DE365FC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77CC518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93</w:t>
            </w:r>
          </w:p>
        </w:tc>
      </w:tr>
      <w:tr w:rsidR="00EB6569" w:rsidRPr="00EB6569" w14:paraId="3099F6AE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F03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51-60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4864421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7DF057E3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08689E9F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132</w:t>
            </w:r>
          </w:p>
        </w:tc>
      </w:tr>
      <w:tr w:rsidR="00EB6569" w:rsidRPr="00EB6569" w14:paraId="44E050B0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3E8A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61-65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1B00F8FF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0F5CFF58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7DBC88FD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36</w:t>
            </w:r>
          </w:p>
        </w:tc>
      </w:tr>
      <w:tr w:rsidR="00EB6569" w:rsidRPr="00EB6569" w14:paraId="0701226A" w14:textId="77777777" w:rsidTr="007A13A4">
        <w:trPr>
          <w:trHeight w:val="312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56A9" w14:textId="77777777" w:rsidR="00EB6569" w:rsidRPr="00EB6569" w:rsidRDefault="00EB6569" w:rsidP="00EB65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Over 65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14:paraId="2BFD92B9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14:paraId="39F28A77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hideMark/>
          </w:tcPr>
          <w:p w14:paraId="28B6C71B" w14:textId="77777777" w:rsidR="00EB6569" w:rsidRPr="00EB6569" w:rsidRDefault="00EB6569" w:rsidP="00EB65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EB6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</w:p>
        </w:tc>
      </w:tr>
    </w:tbl>
    <w:p w14:paraId="48F5C0AF" w14:textId="209A664B" w:rsidR="007C7E6E" w:rsidRDefault="007C7E6E" w:rsidP="00BC538E"/>
    <w:p w14:paraId="5E530D68" w14:textId="2874681F" w:rsidR="00055F11" w:rsidRPr="00055F11" w:rsidRDefault="00055F11" w:rsidP="00BC538E">
      <w:pPr>
        <w:rPr>
          <w:sz w:val="24"/>
          <w:szCs w:val="24"/>
        </w:rPr>
      </w:pPr>
      <w:r>
        <w:rPr>
          <w:sz w:val="24"/>
          <w:szCs w:val="24"/>
        </w:rPr>
        <w:t>Notes:</w:t>
      </w:r>
    </w:p>
    <w:p w14:paraId="7D07A066" w14:textId="5DA0A711" w:rsidR="007C7E6E" w:rsidRDefault="007C7E6E" w:rsidP="007C7E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University currently has no staff under the age of 21 in either academic or support areas</w:t>
      </w:r>
      <w:r w:rsidR="00055F11">
        <w:rPr>
          <w:sz w:val="24"/>
          <w:szCs w:val="24"/>
        </w:rPr>
        <w:t xml:space="preserve"> </w:t>
      </w:r>
    </w:p>
    <w:p w14:paraId="045B368E" w14:textId="0DE376FD" w:rsidR="007C7E6E" w:rsidRPr="007C7E6E" w:rsidRDefault="00055F11" w:rsidP="007C7E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majority of academic staff are in the 41-50 age group with the majority of support staff in the 51-60 group</w:t>
      </w:r>
    </w:p>
    <w:p w14:paraId="513EF285" w14:textId="77777777" w:rsidR="007C7E6E" w:rsidRPr="007C7E6E" w:rsidRDefault="007C7E6E" w:rsidP="00BC538E">
      <w:pPr>
        <w:rPr>
          <w:sz w:val="24"/>
          <w:szCs w:val="24"/>
        </w:rPr>
      </w:pPr>
    </w:p>
    <w:p w14:paraId="6BBF8317" w14:textId="2D14EF2F" w:rsidR="00BC538E" w:rsidRDefault="00BC538E" w:rsidP="00BC538E"/>
    <w:p w14:paraId="1728B239" w14:textId="3622A53B" w:rsidR="00BC538E" w:rsidRDefault="00BC538E" w:rsidP="00BC538E"/>
    <w:p w14:paraId="6A298965" w14:textId="5688D409" w:rsidR="00EB6569" w:rsidRDefault="00EB6569" w:rsidP="00BC538E"/>
    <w:p w14:paraId="5A3B5022" w14:textId="307E13A6" w:rsidR="00EB6569" w:rsidRDefault="00EB6569" w:rsidP="00BC538E"/>
    <w:p w14:paraId="6FC4A556" w14:textId="6607D2DE" w:rsidR="00EB6569" w:rsidRDefault="00EB6569" w:rsidP="00BC538E"/>
    <w:p w14:paraId="55318DF3" w14:textId="691F946B" w:rsidR="00EB6569" w:rsidRDefault="00EB6569" w:rsidP="00BC538E"/>
    <w:p w14:paraId="7B8DB159" w14:textId="05D9936E" w:rsidR="00EB6569" w:rsidRDefault="00EB6569" w:rsidP="00BC538E"/>
    <w:p w14:paraId="04187FAB" w14:textId="72F8DE7E" w:rsidR="00FE6445" w:rsidRPr="003F3BF9" w:rsidRDefault="00FE6445">
      <w:pPr>
        <w:rPr>
          <w:sz w:val="40"/>
          <w:szCs w:val="40"/>
        </w:rPr>
      </w:pPr>
      <w:r w:rsidRPr="005456A3">
        <w:rPr>
          <w:sz w:val="40"/>
          <w:szCs w:val="40"/>
        </w:rPr>
        <w:t>Gender</w:t>
      </w:r>
    </w:p>
    <w:tbl>
      <w:tblPr>
        <w:tblW w:w="7515" w:type="dxa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993"/>
        <w:gridCol w:w="993"/>
        <w:gridCol w:w="993"/>
      </w:tblGrid>
      <w:tr w:rsidR="000444F5" w:rsidRPr="005456A3" w14:paraId="60C10DD6" w14:textId="2AB76A1D" w:rsidTr="000444F5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22D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Gender - Academic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4E3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3874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8A0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A76435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6E9B32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4F5" w:rsidRPr="005456A3" w14:paraId="11D47C94" w14:textId="0344C401" w:rsidTr="00A45FE2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B12B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865A41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E54447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2010FE" w14:textId="0BBB274A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2019-2020</w:t>
            </w:r>
          </w:p>
        </w:tc>
      </w:tr>
      <w:tr w:rsidR="000444F5" w:rsidRPr="005456A3" w14:paraId="49D8594C" w14:textId="69387D59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F55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8BFA73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B7F44BF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C7D23B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7CFCC2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C0EFA8" w14:textId="2201447A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2D9C17" w14:textId="25ACB365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0444F5" w:rsidRPr="005456A3" w14:paraId="20012594" w14:textId="6BC9E2FD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3FC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A2DB93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7263A95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0A23F4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B62FFE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23EB67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B15EC7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44F5" w:rsidRPr="005456A3" w14:paraId="74022B36" w14:textId="531C4726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99E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BDFBDD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182F37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7C2061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96FE07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FF70F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E25B1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44F5" w:rsidRPr="005456A3" w14:paraId="1DDA62AC" w14:textId="4CCC61FC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07E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459CE9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456BE3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ECBEB2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009AA6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72C8C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D7CD0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44F5" w:rsidRPr="005456A3" w14:paraId="18D599D1" w14:textId="0CE230A9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7A1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77F6FB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EED1BA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94B297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3838D6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D18EAF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C717B1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44F5" w:rsidRPr="005456A3" w14:paraId="66EC66C8" w14:textId="088B1372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D48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E56928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A3F0F3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036AAB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C3FCEC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1552BB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75AED7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444F5" w:rsidRPr="005456A3" w14:paraId="2A87EB01" w14:textId="6FC1514F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361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898993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13AD00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84BC92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E71B05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80794F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659306B" w14:textId="3F3AE349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444F5" w:rsidRPr="005456A3" w14:paraId="4EB7388C" w14:textId="06A3684B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B92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C13017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02B515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8DCA29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355695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4D2E5D3" w14:textId="5D7145EE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E4BC8B" w14:textId="742FB361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</w:tr>
      <w:tr w:rsidR="000444F5" w:rsidRPr="005456A3" w14:paraId="77D63E68" w14:textId="7321FC48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3C0F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869E63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1B0980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EC42CA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6F2488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1ABD43C" w14:textId="28FF7356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9D8438C" w14:textId="061247C4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0444F5" w:rsidRPr="005456A3" w14:paraId="5A0C94C1" w14:textId="78A4598D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1F47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82DDE9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2C1A4D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9DEBA34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09A49C4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03D003" w14:textId="56A5DCB4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0C74A0" w14:textId="75F9B5B2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</w:tr>
      <w:tr w:rsidR="000444F5" w:rsidRPr="005456A3" w14:paraId="6787F236" w14:textId="7CE30872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4EE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9CAF8C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AB5EA1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FE2565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917F7B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DB3CA0" w14:textId="38EAB1C4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C7F3F4" w14:textId="0076D699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444F5" w:rsidRPr="005456A3" w14:paraId="3A47F9D5" w14:textId="0DE698E8" w:rsidTr="00A45FE2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F8AD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747F6B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ED18E1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8451BF7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E4EA62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085E4C" w14:textId="6A00AEC5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84B7C6" w14:textId="6A136B1E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</w:tbl>
    <w:p w14:paraId="764842E8" w14:textId="77777777" w:rsidR="00F86B32" w:rsidRDefault="00F86B32"/>
    <w:tbl>
      <w:tblPr>
        <w:tblW w:w="7515" w:type="dxa"/>
        <w:tblLook w:val="04A0" w:firstRow="1" w:lastRow="0" w:firstColumn="1" w:lastColumn="0" w:noHBand="0" w:noVBand="1"/>
      </w:tblPr>
      <w:tblGrid>
        <w:gridCol w:w="1478"/>
        <w:gridCol w:w="1074"/>
        <w:gridCol w:w="992"/>
        <w:gridCol w:w="992"/>
        <w:gridCol w:w="993"/>
        <w:gridCol w:w="993"/>
        <w:gridCol w:w="993"/>
      </w:tblGrid>
      <w:tr w:rsidR="000444F5" w:rsidRPr="005456A3" w14:paraId="07F9EC68" w14:textId="2F4901C0" w:rsidTr="000444F5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B903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Gender - Support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650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35F5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900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B5363A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ED4DFE5" w14:textId="77777777" w:rsidR="000444F5" w:rsidRPr="005456A3" w:rsidRDefault="000444F5" w:rsidP="00545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4F5" w:rsidRPr="005456A3" w14:paraId="4A140317" w14:textId="679E100F" w:rsidTr="00A45FE2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F85F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FBB1CE4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850428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DAEE4F" w14:textId="212B3A74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2019-20</w:t>
            </w:r>
          </w:p>
        </w:tc>
      </w:tr>
      <w:tr w:rsidR="000444F5" w:rsidRPr="005456A3" w14:paraId="06FCC47E" w14:textId="2AF524E4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53F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5EDC11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D15616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846824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4010A8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CF0800" w14:textId="5237D9FC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9510A7" w14:textId="2BB5733D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</w:t>
            </w:r>
          </w:p>
        </w:tc>
      </w:tr>
      <w:tr w:rsidR="000444F5" w:rsidRPr="005456A3" w14:paraId="31A9BA8A" w14:textId="06AC97A2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025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BDFE205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6EEDE1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4C9FC95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3EBA1C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2EF0FB" w14:textId="43B26B31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41E7D6" w14:textId="2DA1785B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</w:tr>
      <w:tr w:rsidR="000444F5" w:rsidRPr="005456A3" w14:paraId="640247AD" w14:textId="4967C93E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DFB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1334BD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7F097E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3FF2505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E3C227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125127" w14:textId="2EC71E0E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DA03AD2" w14:textId="028A0AFC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444F5" w:rsidRPr="005456A3" w14:paraId="0CB52C0E" w14:textId="76FD6852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727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C731DF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750B165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DB2398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95493C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420621" w14:textId="4101BC12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06A" w14:textId="55B74509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0444F5" w:rsidRPr="005456A3" w14:paraId="23D88A18" w14:textId="4EBAB1CF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FDE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50405C4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65DF9E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E4A157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B26A01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246D0E" w14:textId="518177A3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B44436A" w14:textId="2483EF16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</w:tr>
      <w:tr w:rsidR="000444F5" w:rsidRPr="005456A3" w14:paraId="672FB6C1" w14:textId="34DB24F5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83C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5AF748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715697B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B7C6DC0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F8B1EF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AE7E86E" w14:textId="5F8503A6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2590C3" w14:textId="3838E492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</w:tr>
      <w:tr w:rsidR="000444F5" w:rsidRPr="005456A3" w14:paraId="4A617575" w14:textId="7A2F66CC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FFD4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89D2934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0428AC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3D2DAC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B208A2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9E08069" w14:textId="03DDA987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8797C6" w14:textId="5EBAA72B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</w:tr>
      <w:tr w:rsidR="000444F5" w:rsidRPr="005456A3" w14:paraId="239549FC" w14:textId="77D63D8D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F3C1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F0AFC52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37E9B07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B0E08B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4718F5A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15D1A2" w14:textId="1EC12C6C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1043405" w14:textId="179EC193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</w:tr>
      <w:tr w:rsidR="000444F5" w:rsidRPr="005456A3" w14:paraId="33D0078D" w14:textId="494C8FF0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1DAB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D32E9C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53F947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33082C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7153646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38DE46" w14:textId="58399CAE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3AC83A" w14:textId="5D1D6953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0444F5" w:rsidRPr="005456A3" w14:paraId="6B0A31AB" w14:textId="7F200AF8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8A2F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EC7FE5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9765F6C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D379511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85E770E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15979F" w14:textId="739CB8CD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51CB40" w14:textId="5E3C534A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444F5" w:rsidRPr="005456A3" w14:paraId="0F6BA521" w14:textId="5BEF132A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84F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Grade 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34E437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C7FF35D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3A8441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9496319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7DC5AF4" w14:textId="5E6A8D87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BF25F2" w14:textId="74D11DDC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0444F5" w:rsidRPr="005456A3" w14:paraId="089CC7E5" w14:textId="291FA023" w:rsidTr="00A45FE2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9DF5" w14:textId="77777777" w:rsidR="000444F5" w:rsidRPr="005456A3" w:rsidRDefault="000444F5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SPOT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F7A97F8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D24E85F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BF37833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65727BF" w14:textId="77777777" w:rsidR="000444F5" w:rsidRPr="005456A3" w:rsidRDefault="000444F5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56A3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063586" w14:textId="38C45407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4F35DB" w14:textId="0750A6DD" w:rsidR="000444F5" w:rsidRPr="005456A3" w:rsidRDefault="00BC538E" w:rsidP="005456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</w:tbl>
    <w:p w14:paraId="01AD5943" w14:textId="77777777" w:rsidR="00F86B32" w:rsidRDefault="00F86B32"/>
    <w:p w14:paraId="5B985E91" w14:textId="23990127" w:rsidR="001B7A72" w:rsidRPr="00055F11" w:rsidRDefault="003F3BF9">
      <w:pPr>
        <w:rPr>
          <w:sz w:val="24"/>
          <w:szCs w:val="24"/>
        </w:rPr>
      </w:pPr>
      <w:r w:rsidRPr="00055F11">
        <w:rPr>
          <w:sz w:val="24"/>
          <w:szCs w:val="24"/>
        </w:rPr>
        <w:t>Notes:</w:t>
      </w:r>
    </w:p>
    <w:p w14:paraId="5B0C4079" w14:textId="4B611C25" w:rsidR="001B7A72" w:rsidRDefault="001B7A72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See “University Equality and Diversity Objectives 2020-24” – objective 3</w:t>
      </w:r>
    </w:p>
    <w:p w14:paraId="0D3796C2" w14:textId="3FCDF3BC" w:rsidR="00055F11" w:rsidRPr="00055F11" w:rsidRDefault="00055F11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5F11">
        <w:rPr>
          <w:sz w:val="24"/>
          <w:szCs w:val="24"/>
        </w:rPr>
        <w:t>Females make up over 59% of all staff at Liverpool Hope</w:t>
      </w:r>
    </w:p>
    <w:p w14:paraId="57D89609" w14:textId="07FFDE53" w:rsidR="00055F11" w:rsidRPr="00055F11" w:rsidRDefault="00A27426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There are more women than men</w:t>
      </w:r>
      <w:r w:rsidR="00055F11" w:rsidRPr="00055F11">
        <w:rPr>
          <w:sz w:val="24"/>
          <w:szCs w:val="24"/>
        </w:rPr>
        <w:t xml:space="preserve"> in academic grades 7 and 8 but this reduces significantly at from Grade 9 and above</w:t>
      </w:r>
    </w:p>
    <w:p w14:paraId="61EAF94C" w14:textId="5D3F36AC" w:rsidR="00055F11" w:rsidRPr="00055F11" w:rsidRDefault="00055F11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5F11">
        <w:rPr>
          <w:sz w:val="24"/>
          <w:szCs w:val="24"/>
        </w:rPr>
        <w:t>Women make up the majority of roles at Grade 1 which consist of Catering and Domestic staff while there are more men at Grade 3 largely due to the role of Campus Officer sitting at this grade (of which there are 32 men and 4 women)</w:t>
      </w:r>
    </w:p>
    <w:p w14:paraId="589E4B37" w14:textId="1FB6A5B5" w:rsidR="00BC538E" w:rsidRDefault="00055F11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55F11">
        <w:rPr>
          <w:sz w:val="24"/>
          <w:szCs w:val="24"/>
        </w:rPr>
        <w:t xml:space="preserve">Women are the majority at the predominantly administrative </w:t>
      </w:r>
      <w:r>
        <w:rPr>
          <w:sz w:val="24"/>
          <w:szCs w:val="24"/>
        </w:rPr>
        <w:t>grades 4 an</w:t>
      </w:r>
      <w:r w:rsidR="005608CC">
        <w:rPr>
          <w:sz w:val="24"/>
          <w:szCs w:val="24"/>
        </w:rPr>
        <w:t>d above</w:t>
      </w:r>
    </w:p>
    <w:p w14:paraId="3CFFCE32" w14:textId="1F58E5F6" w:rsidR="005608CC" w:rsidRDefault="005608CC" w:rsidP="00055F1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Large numbers at “SPOT” in 2017-18 due to recording of students on internships</w:t>
      </w:r>
    </w:p>
    <w:p w14:paraId="307AC152" w14:textId="77777777" w:rsidR="005608CC" w:rsidRPr="00055F11" w:rsidRDefault="005608CC" w:rsidP="005608CC">
      <w:pPr>
        <w:pStyle w:val="ListParagraph"/>
        <w:rPr>
          <w:sz w:val="24"/>
          <w:szCs w:val="24"/>
        </w:rPr>
      </w:pPr>
    </w:p>
    <w:p w14:paraId="1FCA495E" w14:textId="678197A6" w:rsidR="00F86B32" w:rsidRPr="005456A3" w:rsidRDefault="00F86B32">
      <w:pPr>
        <w:rPr>
          <w:sz w:val="40"/>
          <w:szCs w:val="40"/>
        </w:rPr>
      </w:pPr>
      <w:r w:rsidRPr="005456A3">
        <w:rPr>
          <w:sz w:val="40"/>
          <w:szCs w:val="40"/>
        </w:rPr>
        <w:t>Disability</w:t>
      </w:r>
    </w:p>
    <w:p w14:paraId="2E6D6F72" w14:textId="0E3A8B2B" w:rsidR="00F86B32" w:rsidRDefault="007A13A4">
      <w:r>
        <w:rPr>
          <w:noProof/>
          <w:lang w:eastAsia="en-GB"/>
        </w:rPr>
        <w:drawing>
          <wp:inline distT="0" distB="0" distL="0" distR="0" wp14:anchorId="76F9A644" wp14:editId="158C4D7A">
            <wp:extent cx="5151120" cy="2529840"/>
            <wp:effectExtent l="0" t="0" r="1143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28C949B" w14:textId="51D5B54F" w:rsidR="00F86B32" w:rsidRDefault="00F86B32"/>
    <w:p w14:paraId="162DFD8A" w14:textId="77777777" w:rsidR="003F3BF9" w:rsidRPr="00EF4990" w:rsidRDefault="003F3BF9">
      <w:pPr>
        <w:rPr>
          <w:sz w:val="24"/>
          <w:szCs w:val="24"/>
        </w:rPr>
      </w:pPr>
      <w:r w:rsidRPr="00EF4990">
        <w:rPr>
          <w:sz w:val="24"/>
          <w:szCs w:val="24"/>
        </w:rPr>
        <w:t>Notes:</w:t>
      </w:r>
    </w:p>
    <w:p w14:paraId="0E0777E5" w14:textId="1DC810DD" w:rsidR="00F86B32" w:rsidRPr="00EF4990" w:rsidRDefault="00EF4990">
      <w:pPr>
        <w:rPr>
          <w:sz w:val="24"/>
          <w:szCs w:val="24"/>
        </w:rPr>
      </w:pPr>
      <w:r w:rsidRPr="00EF4990">
        <w:rPr>
          <w:sz w:val="24"/>
          <w:szCs w:val="24"/>
        </w:rPr>
        <w:t>The number of staff declaring a disability at Liverpool H</w:t>
      </w:r>
      <w:r>
        <w:rPr>
          <w:sz w:val="24"/>
          <w:szCs w:val="24"/>
        </w:rPr>
        <w:t xml:space="preserve">ope has reduced slightly but </w:t>
      </w:r>
      <w:r w:rsidRPr="00EF4990">
        <w:rPr>
          <w:sz w:val="24"/>
          <w:szCs w:val="24"/>
        </w:rPr>
        <w:t xml:space="preserve">still </w:t>
      </w:r>
      <w:r>
        <w:rPr>
          <w:sz w:val="24"/>
          <w:szCs w:val="24"/>
        </w:rPr>
        <w:t xml:space="preserve">remains </w:t>
      </w:r>
      <w:r w:rsidRPr="00EF4990">
        <w:rPr>
          <w:sz w:val="24"/>
          <w:szCs w:val="24"/>
        </w:rPr>
        <w:t>well above the sector figure of 5.3%</w:t>
      </w:r>
    </w:p>
    <w:p w14:paraId="4F8F4D74" w14:textId="77777777" w:rsidR="005456A3" w:rsidRDefault="005456A3"/>
    <w:p w14:paraId="479B3CFF" w14:textId="77777777" w:rsidR="00F86B32" w:rsidRPr="005456A3" w:rsidRDefault="005456A3">
      <w:pPr>
        <w:rPr>
          <w:sz w:val="40"/>
          <w:szCs w:val="40"/>
        </w:rPr>
      </w:pPr>
      <w:r>
        <w:rPr>
          <w:sz w:val="40"/>
          <w:szCs w:val="40"/>
        </w:rPr>
        <w:t>Ethnicity</w:t>
      </w:r>
    </w:p>
    <w:tbl>
      <w:tblPr>
        <w:tblW w:w="7870" w:type="dxa"/>
        <w:tblLook w:val="04A0" w:firstRow="1" w:lastRow="0" w:firstColumn="1" w:lastColumn="0" w:noHBand="0" w:noVBand="1"/>
      </w:tblPr>
      <w:tblGrid>
        <w:gridCol w:w="1885"/>
        <w:gridCol w:w="1087"/>
        <w:gridCol w:w="931"/>
        <w:gridCol w:w="1087"/>
        <w:gridCol w:w="960"/>
        <w:gridCol w:w="1087"/>
        <w:gridCol w:w="931"/>
      </w:tblGrid>
      <w:tr w:rsidR="00BC538E" w:rsidRPr="00F86B32" w14:paraId="72759118" w14:textId="1BB433B0" w:rsidTr="00BC538E">
        <w:trPr>
          <w:trHeight w:val="300"/>
        </w:trPr>
        <w:tc>
          <w:tcPr>
            <w:tcW w:w="3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E505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Ethnicity by Contract Type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740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E233" w14:textId="77777777" w:rsidR="00BC538E" w:rsidRPr="00F86B32" w:rsidRDefault="00BC538E" w:rsidP="00F8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3B30BC" w14:textId="77777777" w:rsidR="00BC538E" w:rsidRPr="00F86B32" w:rsidRDefault="00BC538E" w:rsidP="00F8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B2FB5FC" w14:textId="77777777" w:rsidR="00BC538E" w:rsidRPr="00F86B32" w:rsidRDefault="00BC538E" w:rsidP="00F8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C538E" w:rsidRPr="00F86B32" w14:paraId="58B85489" w14:textId="20657697" w:rsidTr="00A45FE2">
        <w:trPr>
          <w:trHeight w:val="30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C5E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11A755C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F1521A4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834403" w14:textId="768B0F13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2019-20</w:t>
            </w:r>
          </w:p>
        </w:tc>
      </w:tr>
      <w:tr w:rsidR="00BC538E" w:rsidRPr="00F86B32" w14:paraId="56382F98" w14:textId="19D51A08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24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9B551D0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Academic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1C106C7C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Support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D1E954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Academic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5952BD62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Support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ABD42B" w14:textId="4E70183F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Academic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F5470F6" w14:textId="7802073C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Support</w:t>
            </w:r>
          </w:p>
        </w:tc>
      </w:tr>
      <w:tr w:rsidR="00BC538E" w:rsidRPr="00F86B32" w14:paraId="18791332" w14:textId="057E4EDC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AFA3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7E0CDCB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4E7D981A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340FC14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F1374EA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93B758" w14:textId="45FD19E7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9A3F7F5" w14:textId="19D7827F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C538E" w:rsidRPr="00F86B32" w14:paraId="7472A4AC" w14:textId="026C4807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2500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Asian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9B267E9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0C4939AD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0366821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245A25C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45F143" w14:textId="7BB5F1DD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13D5BD" w14:textId="15699F9D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F86B32" w14:paraId="3F8CEF83" w14:textId="06FB790D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410F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22E0CFEA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25951A67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422A573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0322A49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3593CA" w14:textId="101D0588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5F937A" w14:textId="2EEC9208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F86B32" w14:paraId="1C3B01C4" w14:textId="05A9B286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8E3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A71ED35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4FA5BB55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41084B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8C15733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91AC1E" w14:textId="44AB0CDB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327441" w14:textId="575D8AA4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C538E" w:rsidRPr="00F86B32" w14:paraId="158271D9" w14:textId="5CA2B695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858F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473921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50B97A90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69FD534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CC3257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607B22A" w14:textId="3A9C8CCC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434B37" w14:textId="483F6ABB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F86B32" w14:paraId="5AA5C533" w14:textId="55A97C0F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D49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4458FFD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6BB1A7E9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9838F08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712E345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83BE1" w14:textId="74D7ACB6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20927AF" w14:textId="2BC4F39F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F86B32" w14:paraId="36A66A4C" w14:textId="1444556B" w:rsidTr="00A45FE2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E64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Unknown/Refused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A7F6548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bottom"/>
            <w:hideMark/>
          </w:tcPr>
          <w:p w14:paraId="545D426A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8C9AC62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BE6F735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A9D72A" w14:textId="3DC2D56E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8DB27B" w14:textId="7682BF6A" w:rsidR="00BC538E" w:rsidRPr="00F86B32" w:rsidRDefault="00A45FE2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</w:tbl>
    <w:p w14:paraId="2948A85F" w14:textId="77777777" w:rsidR="00F86B32" w:rsidRDefault="00F86B32"/>
    <w:p w14:paraId="32235265" w14:textId="71A39DD5" w:rsidR="00D5761B" w:rsidRDefault="00EF4990">
      <w:pPr>
        <w:rPr>
          <w:sz w:val="24"/>
          <w:szCs w:val="24"/>
        </w:rPr>
      </w:pPr>
      <w:r w:rsidRPr="00EF4990">
        <w:rPr>
          <w:sz w:val="24"/>
          <w:szCs w:val="24"/>
        </w:rPr>
        <w:t>Notes:</w:t>
      </w:r>
    </w:p>
    <w:p w14:paraId="1FA37487" w14:textId="5B21FFD7" w:rsidR="001B7A72" w:rsidRDefault="001B7A72" w:rsidP="001B7A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See “University Equality and Diversity Objectives 2020-24” – objective 3</w:t>
      </w:r>
    </w:p>
    <w:p w14:paraId="4260D204" w14:textId="0E8FDE2B" w:rsidR="000E7A23" w:rsidRDefault="000E7A23" w:rsidP="001B7A7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Staff from an ethnic background other than white make up 5% of the University’s total staff – less than half of the 10.3% across the sector</w:t>
      </w:r>
    </w:p>
    <w:p w14:paraId="3C21EB65" w14:textId="0F990CB4" w:rsidR="003C0466" w:rsidRDefault="003C0466">
      <w:pPr>
        <w:rPr>
          <w:sz w:val="40"/>
          <w:szCs w:val="40"/>
        </w:rPr>
      </w:pPr>
    </w:p>
    <w:p w14:paraId="3A6F2749" w14:textId="50F32DFA" w:rsidR="007C5955" w:rsidRPr="0049161C" w:rsidRDefault="005456A3">
      <w:pPr>
        <w:rPr>
          <w:sz w:val="40"/>
          <w:szCs w:val="40"/>
        </w:rPr>
      </w:pPr>
      <w:r w:rsidRPr="005456A3">
        <w:rPr>
          <w:sz w:val="40"/>
          <w:szCs w:val="40"/>
        </w:rPr>
        <w:t>Sexual Orientation</w:t>
      </w:r>
    </w:p>
    <w:tbl>
      <w:tblPr>
        <w:tblW w:w="5245" w:type="dxa"/>
        <w:tblLook w:val="04A0" w:firstRow="1" w:lastRow="0" w:firstColumn="1" w:lastColumn="0" w:noHBand="0" w:noVBand="1"/>
      </w:tblPr>
      <w:tblGrid>
        <w:gridCol w:w="1985"/>
        <w:gridCol w:w="992"/>
        <w:gridCol w:w="1134"/>
        <w:gridCol w:w="1134"/>
      </w:tblGrid>
      <w:tr w:rsidR="00BC538E" w:rsidRPr="00F86B32" w14:paraId="728ABA04" w14:textId="5F883179" w:rsidTr="00BC538E">
        <w:trPr>
          <w:trHeight w:val="3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AE7" w14:textId="77777777" w:rsidR="00BC538E" w:rsidRPr="00F86B32" w:rsidRDefault="00BC538E" w:rsidP="005456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287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EE160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538E" w:rsidRPr="00F86B32" w14:paraId="20101D72" w14:textId="2F78E15D" w:rsidTr="00A45F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567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0B4E444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6A5C200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6A7D2F" w14:textId="7651AAB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2019-20</w:t>
            </w:r>
          </w:p>
        </w:tc>
      </w:tr>
      <w:tr w:rsidR="00BC538E" w:rsidRPr="00F86B32" w14:paraId="21A17C56" w14:textId="4F514A17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4EAB" w14:textId="77777777" w:rsidR="00BC538E" w:rsidRPr="00F86B32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Not given/PNTS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544CF10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BC86398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944246" w14:textId="254C705F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142</w:t>
            </w:r>
          </w:p>
        </w:tc>
      </w:tr>
      <w:tr w:rsidR="00BC538E" w:rsidRPr="00F86B32" w14:paraId="7658356A" w14:textId="5EBF632D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B8F9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763F81B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13200E0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4C96FA" w14:textId="007FB426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C538E" w:rsidRPr="00F86B32" w14:paraId="3B469FD3" w14:textId="6848E8A8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0B83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Hetersexual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FF46419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6DB1062B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0126E57" w14:textId="3E60558D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571</w:t>
            </w:r>
          </w:p>
        </w:tc>
      </w:tr>
      <w:tr w:rsidR="00BC538E" w:rsidRPr="00F86B32" w14:paraId="1E76FF2A" w14:textId="6E1FDC5D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3367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Gay woman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1B6B069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89A9C9D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55D70B" w14:textId="10BED1BA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BC538E" w:rsidRPr="00F86B32" w14:paraId="34B9FD0C" w14:textId="13279332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B6B6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Gay 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C9956C2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1A226DF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46A29A" w14:textId="72221086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</w:tr>
      <w:tr w:rsidR="00BC538E" w:rsidRPr="00F86B32" w14:paraId="393E984C" w14:textId="60D8EC0C" w:rsidTr="00A45FE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C80" w14:textId="77777777" w:rsidR="00BC538E" w:rsidRPr="00F86B32" w:rsidRDefault="00BC538E" w:rsidP="00F86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Bixexual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473EDDC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E78BEDA" w14:textId="77777777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86B3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E47D2B" w14:textId="0DFC4EFE" w:rsidR="00BC538E" w:rsidRPr="00F86B32" w:rsidRDefault="00BC538E" w:rsidP="00F86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</w:tbl>
    <w:p w14:paraId="3165730D" w14:textId="77777777" w:rsidR="00F86B32" w:rsidRDefault="00F86B32"/>
    <w:p w14:paraId="1D336EAB" w14:textId="2D6E09EC" w:rsidR="00D5761B" w:rsidRPr="0039774B" w:rsidRDefault="00D5761B" w:rsidP="004B5381">
      <w:pPr>
        <w:rPr>
          <w:sz w:val="24"/>
          <w:szCs w:val="24"/>
        </w:rPr>
      </w:pPr>
      <w:r w:rsidRPr="0039774B">
        <w:rPr>
          <w:sz w:val="24"/>
          <w:szCs w:val="24"/>
        </w:rPr>
        <w:t>Notes:</w:t>
      </w:r>
    </w:p>
    <w:p w14:paraId="6463556D" w14:textId="32C6331F" w:rsidR="0039774B" w:rsidRPr="0039774B" w:rsidRDefault="0039774B" w:rsidP="003977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9774B">
        <w:rPr>
          <w:sz w:val="24"/>
          <w:szCs w:val="24"/>
        </w:rPr>
        <w:t xml:space="preserve">Collecting data on sexual orientation continues to be an issue at sector level with only around 70% of institutions actually submitting </w:t>
      </w:r>
      <w:r>
        <w:rPr>
          <w:sz w:val="24"/>
          <w:szCs w:val="24"/>
        </w:rPr>
        <w:t xml:space="preserve">any </w:t>
      </w:r>
      <w:r w:rsidRPr="0039774B">
        <w:rPr>
          <w:sz w:val="24"/>
          <w:szCs w:val="24"/>
        </w:rPr>
        <w:t xml:space="preserve">data – and of the data submitted, less than 3% of staff describe themselves as having a characteristic other than heterosexual with over 12% refusing to supply any information.  </w:t>
      </w:r>
    </w:p>
    <w:p w14:paraId="717F65DE" w14:textId="127F695C" w:rsidR="007C6930" w:rsidRPr="0039774B" w:rsidRDefault="0039774B" w:rsidP="0039774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9774B">
        <w:rPr>
          <w:sz w:val="24"/>
          <w:szCs w:val="24"/>
        </w:rPr>
        <w:t xml:space="preserve">At Liverpool </w:t>
      </w:r>
      <w:r>
        <w:rPr>
          <w:sz w:val="24"/>
          <w:szCs w:val="24"/>
        </w:rPr>
        <w:t>Hope, just under 19% of all</w:t>
      </w:r>
      <w:r w:rsidRPr="0039774B">
        <w:rPr>
          <w:sz w:val="24"/>
          <w:szCs w:val="24"/>
        </w:rPr>
        <w:t xml:space="preserve"> staff </w:t>
      </w:r>
      <w:r>
        <w:rPr>
          <w:sz w:val="24"/>
          <w:szCs w:val="24"/>
        </w:rPr>
        <w:t xml:space="preserve">either </w:t>
      </w:r>
      <w:r w:rsidRPr="0039774B">
        <w:rPr>
          <w:sz w:val="24"/>
          <w:szCs w:val="24"/>
        </w:rPr>
        <w:t xml:space="preserve">refuse to supply information or </w:t>
      </w:r>
      <w:r>
        <w:rPr>
          <w:sz w:val="24"/>
          <w:szCs w:val="24"/>
        </w:rPr>
        <w:t>“</w:t>
      </w:r>
      <w:r w:rsidRPr="0039774B">
        <w:rPr>
          <w:sz w:val="24"/>
          <w:szCs w:val="24"/>
        </w:rPr>
        <w:t>prefer not to say</w:t>
      </w:r>
      <w:r>
        <w:rPr>
          <w:sz w:val="24"/>
          <w:szCs w:val="24"/>
        </w:rPr>
        <w:t>”</w:t>
      </w:r>
    </w:p>
    <w:p w14:paraId="5929585B" w14:textId="77777777" w:rsidR="007C5955" w:rsidRDefault="007C5955"/>
    <w:p w14:paraId="222F8AC7" w14:textId="77777777" w:rsidR="007C5955" w:rsidRPr="005456A3" w:rsidRDefault="005456A3">
      <w:pPr>
        <w:rPr>
          <w:sz w:val="40"/>
          <w:szCs w:val="40"/>
        </w:rPr>
      </w:pPr>
      <w:r w:rsidRPr="005456A3">
        <w:rPr>
          <w:sz w:val="40"/>
          <w:szCs w:val="40"/>
        </w:rPr>
        <w:t>Religion and Belief</w:t>
      </w:r>
    </w:p>
    <w:tbl>
      <w:tblPr>
        <w:tblW w:w="5387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</w:tblGrid>
      <w:tr w:rsidR="00BC538E" w:rsidRPr="007C5955" w14:paraId="790BAF4C" w14:textId="00C0A28D" w:rsidTr="00BC538E">
        <w:trPr>
          <w:trHeight w:val="30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C777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EB89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28B12B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C538E" w:rsidRPr="007C5955" w14:paraId="220F65B6" w14:textId="2921B66F" w:rsidTr="00A45FE2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F038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C1C66B1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2017-18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89C5FAD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2018-19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D60906D" w14:textId="6440051C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2019-20</w:t>
            </w:r>
          </w:p>
        </w:tc>
      </w:tr>
      <w:tr w:rsidR="00BC538E" w:rsidRPr="007C5955" w14:paraId="55BC3B97" w14:textId="4C915FBE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C651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Not given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626DEB0A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2DDEC1C4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2D412" w14:textId="56B2EF7D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150</w:t>
            </w:r>
          </w:p>
        </w:tc>
      </w:tr>
      <w:tr w:rsidR="00BC538E" w:rsidRPr="007C5955" w14:paraId="10CC016D" w14:textId="6D5E540F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352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Bahai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C57371C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8E9EA3E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CBB305" w14:textId="299A840D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C538E" w:rsidRPr="007C5955" w14:paraId="68D04AB5" w14:textId="5F9F99C3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6F36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513A68CC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8D32F74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DAAA9B" w14:textId="27C8A0F2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BC538E" w:rsidRPr="007C5955" w14:paraId="6D3BD295" w14:textId="47CFAAD7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C3B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Spiritual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2494B2E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40D602F2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D9CC3B" w14:textId="4D906EB2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7C5955" w14:paraId="778A77B1" w14:textId="327CA9E8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81B6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Muslim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4D1EE607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56B7C40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8F0524" w14:textId="6E0DC8C7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7C5955" w14:paraId="4668F0B0" w14:textId="50C52A71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B657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Jewish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345F6F5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E1FD632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6FA0E56" w14:textId="1F408F52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</w:tr>
      <w:tr w:rsidR="00BC538E" w:rsidRPr="007C5955" w14:paraId="57B6B6C1" w14:textId="3204D88D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671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Hindu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E5A931C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13CA6CA5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&lt;5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F474DB" w14:textId="0AC7076C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BC538E" w:rsidRPr="007C5955" w14:paraId="41546BBC" w14:textId="0333FB62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E887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Christian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3A1E316D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335AE6C9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3FA1F5" w14:textId="2AEDDB96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372</w:t>
            </w:r>
          </w:p>
        </w:tc>
      </w:tr>
      <w:tr w:rsidR="00BC538E" w:rsidRPr="007C5955" w14:paraId="02A860BD" w14:textId="30353F86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E668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Buddhist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03551F31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739A547E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5D2CA7B" w14:textId="020DC73D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BC538E" w:rsidRPr="007C5955" w14:paraId="6112E884" w14:textId="02AE7926" w:rsidTr="00A45FE2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98D" w14:textId="77777777" w:rsidR="00BC538E" w:rsidRPr="007C5955" w:rsidRDefault="00BC538E" w:rsidP="007C5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14:paraId="130DB41E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  <w:hideMark/>
          </w:tcPr>
          <w:p w14:paraId="0FC3AEBB" w14:textId="77777777" w:rsidR="00BC538E" w:rsidRPr="007C5955" w:rsidRDefault="00BC538E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5955">
              <w:rPr>
                <w:rFonts w:ascii="Calibri" w:eastAsia="Times New Roman" w:hAnsi="Calibri" w:cs="Calibri"/>
                <w:color w:val="000000"/>
                <w:lang w:eastAsia="en-GB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6A5D93" w14:textId="4052AF3A" w:rsidR="00BC538E" w:rsidRPr="007C5955" w:rsidRDefault="00EB6569" w:rsidP="007C5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205</w:t>
            </w:r>
          </w:p>
        </w:tc>
      </w:tr>
    </w:tbl>
    <w:p w14:paraId="2D6EECB7" w14:textId="78A3FE3B" w:rsidR="007C5955" w:rsidRDefault="007C5955"/>
    <w:p w14:paraId="465D12B2" w14:textId="2DB77058" w:rsidR="0039774B" w:rsidRPr="006155A0" w:rsidRDefault="006155A0" w:rsidP="006155A0">
      <w:pPr>
        <w:rPr>
          <w:sz w:val="24"/>
          <w:szCs w:val="24"/>
        </w:rPr>
      </w:pPr>
      <w:r w:rsidRPr="006155A0">
        <w:rPr>
          <w:sz w:val="24"/>
          <w:szCs w:val="24"/>
        </w:rPr>
        <w:t>Note:</w:t>
      </w:r>
    </w:p>
    <w:p w14:paraId="715D9DA2" w14:textId="2B2C7876" w:rsidR="006155A0" w:rsidRPr="006155A0" w:rsidRDefault="006155A0" w:rsidP="006155A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155A0">
        <w:rPr>
          <w:sz w:val="24"/>
          <w:szCs w:val="24"/>
        </w:rPr>
        <w:t>Disclosure rates have improved following the data update exercise by Personnel in 2018</w:t>
      </w:r>
    </w:p>
    <w:p w14:paraId="6178DBA4" w14:textId="6BE91B85" w:rsidR="006155A0" w:rsidRDefault="006155A0" w:rsidP="006155A0">
      <w:pPr>
        <w:pStyle w:val="ListParagraph"/>
        <w:numPr>
          <w:ilvl w:val="0"/>
          <w:numId w:val="11"/>
        </w:numPr>
      </w:pPr>
      <w:r w:rsidRPr="006155A0">
        <w:rPr>
          <w:sz w:val="24"/>
          <w:szCs w:val="24"/>
        </w:rPr>
        <w:t>Almost half of all staff at Liverpool Hope describe themselves as Christian</w:t>
      </w:r>
      <w:r w:rsidR="0049161C">
        <w:rPr>
          <w:sz w:val="24"/>
          <w:szCs w:val="24"/>
        </w:rPr>
        <w:t xml:space="preserve"> and </w:t>
      </w:r>
      <w:proofErr w:type="gramStart"/>
      <w:r w:rsidR="0049161C">
        <w:rPr>
          <w:sz w:val="24"/>
          <w:szCs w:val="24"/>
        </w:rPr>
        <w:t>46% of staff have either no religion or refused/prefer not to say</w:t>
      </w:r>
      <w:proofErr w:type="gramEnd"/>
      <w:r w:rsidR="0049161C">
        <w:rPr>
          <w:sz w:val="24"/>
          <w:szCs w:val="24"/>
        </w:rPr>
        <w:t>.</w:t>
      </w:r>
    </w:p>
    <w:p w14:paraId="504643EF" w14:textId="77777777" w:rsidR="00016AF8" w:rsidRDefault="00016AF8">
      <w:pPr>
        <w:rPr>
          <w:sz w:val="40"/>
          <w:szCs w:val="40"/>
        </w:rPr>
      </w:pPr>
    </w:p>
    <w:p w14:paraId="4F513E80" w14:textId="507C6BF4" w:rsidR="0043780C" w:rsidRPr="0043780C" w:rsidRDefault="0043780C">
      <w:pPr>
        <w:rPr>
          <w:sz w:val="40"/>
          <w:szCs w:val="40"/>
        </w:rPr>
      </w:pPr>
      <w:r w:rsidRPr="0043780C">
        <w:rPr>
          <w:sz w:val="40"/>
          <w:szCs w:val="40"/>
        </w:rPr>
        <w:t xml:space="preserve">Gender </w:t>
      </w:r>
      <w:proofErr w:type="spellStart"/>
      <w:r w:rsidRPr="0043780C">
        <w:rPr>
          <w:sz w:val="40"/>
          <w:szCs w:val="40"/>
        </w:rPr>
        <w:t>Reassigment</w:t>
      </w:r>
      <w:proofErr w:type="spellEnd"/>
    </w:p>
    <w:p w14:paraId="719F466E" w14:textId="6694B708" w:rsidR="0043780C" w:rsidRPr="0043780C" w:rsidRDefault="0043780C">
      <w:pPr>
        <w:rPr>
          <w:sz w:val="24"/>
          <w:szCs w:val="24"/>
        </w:rPr>
      </w:pPr>
      <w:r w:rsidRPr="0043780C">
        <w:rPr>
          <w:sz w:val="24"/>
          <w:szCs w:val="24"/>
        </w:rPr>
        <w:t>Gender Reassignment is the legal term used in the Equality Act</w:t>
      </w:r>
      <w:r>
        <w:rPr>
          <w:sz w:val="24"/>
          <w:szCs w:val="24"/>
        </w:rPr>
        <w:t xml:space="preserve"> to describe the protected characteristic of anyone who ‘proposes to undergo, is undergoing or has undergone a process (or part) for the purpose of reassigning a person’s sex by changing physiological or other attributes of sex’.</w:t>
      </w:r>
      <w:r w:rsidRPr="004378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780C">
        <w:rPr>
          <w:sz w:val="24"/>
          <w:szCs w:val="24"/>
        </w:rPr>
        <w:t xml:space="preserve">Liverpool Hope University uses the question, “is your gender identity the same as the gender you were assigned with at birth” </w:t>
      </w:r>
      <w:r>
        <w:rPr>
          <w:sz w:val="24"/>
          <w:szCs w:val="24"/>
        </w:rPr>
        <w:t xml:space="preserve">on our monitoring form </w:t>
      </w:r>
      <w:r w:rsidRPr="0043780C">
        <w:rPr>
          <w:sz w:val="24"/>
          <w:szCs w:val="24"/>
        </w:rPr>
        <w:t>to collate data on this.</w:t>
      </w:r>
    </w:p>
    <w:p w14:paraId="008DC4FA" w14:textId="175EB3F5" w:rsidR="0043780C" w:rsidRPr="0043780C" w:rsidRDefault="0043780C">
      <w:pPr>
        <w:rPr>
          <w:sz w:val="24"/>
          <w:szCs w:val="24"/>
        </w:rPr>
      </w:pPr>
      <w:r w:rsidRPr="0043780C">
        <w:rPr>
          <w:sz w:val="24"/>
          <w:szCs w:val="24"/>
        </w:rPr>
        <w:t>We have no data that shows any members of staff with a gender different to that assigned with at birth but we do have a very small number of “unknowns” so further work is needed to understand the reasons for this and to encourage staff to provide the informat</w:t>
      </w:r>
      <w:r>
        <w:rPr>
          <w:sz w:val="24"/>
          <w:szCs w:val="24"/>
        </w:rPr>
        <w:t xml:space="preserve">ion (although the caveat regarding </w:t>
      </w:r>
      <w:r w:rsidRPr="0043780C">
        <w:rPr>
          <w:sz w:val="24"/>
          <w:szCs w:val="24"/>
        </w:rPr>
        <w:t xml:space="preserve">small numbers is important </w:t>
      </w:r>
      <w:r>
        <w:rPr>
          <w:sz w:val="24"/>
          <w:szCs w:val="24"/>
        </w:rPr>
        <w:t xml:space="preserve">to note </w:t>
      </w:r>
      <w:r w:rsidRPr="0043780C">
        <w:rPr>
          <w:sz w:val="24"/>
          <w:szCs w:val="24"/>
        </w:rPr>
        <w:t>here).</w:t>
      </w:r>
    </w:p>
    <w:p w14:paraId="422F8598" w14:textId="3424F894" w:rsidR="0043780C" w:rsidRPr="0043780C" w:rsidRDefault="0043780C">
      <w:pPr>
        <w:rPr>
          <w:sz w:val="24"/>
          <w:szCs w:val="24"/>
        </w:rPr>
      </w:pPr>
    </w:p>
    <w:p w14:paraId="09610FE0" w14:textId="77777777" w:rsidR="0043780C" w:rsidRDefault="0043780C"/>
    <w:sectPr w:rsidR="004378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E1A7" w14:textId="77777777" w:rsidR="006E3B4B" w:rsidRDefault="006E3B4B" w:rsidP="00EF2A07">
      <w:pPr>
        <w:spacing w:after="0" w:line="240" w:lineRule="auto"/>
      </w:pPr>
      <w:r>
        <w:separator/>
      </w:r>
    </w:p>
  </w:endnote>
  <w:endnote w:type="continuationSeparator" w:id="0">
    <w:p w14:paraId="073B3AE4" w14:textId="77777777" w:rsidR="006E3B4B" w:rsidRDefault="006E3B4B" w:rsidP="00EF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99A4" w14:textId="77777777" w:rsidR="002F1CA9" w:rsidRDefault="002F1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2CF8" w14:textId="77777777" w:rsidR="002F1CA9" w:rsidRDefault="002F1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67F2D" w14:textId="77777777" w:rsidR="002F1CA9" w:rsidRDefault="002F1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92D2F" w14:textId="77777777" w:rsidR="006E3B4B" w:rsidRDefault="006E3B4B" w:rsidP="00EF2A07">
      <w:pPr>
        <w:spacing w:after="0" w:line="240" w:lineRule="auto"/>
      </w:pPr>
      <w:r>
        <w:separator/>
      </w:r>
    </w:p>
  </w:footnote>
  <w:footnote w:type="continuationSeparator" w:id="0">
    <w:p w14:paraId="6611228D" w14:textId="77777777" w:rsidR="006E3B4B" w:rsidRDefault="006E3B4B" w:rsidP="00EF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3768E" w14:textId="7CAABF90" w:rsidR="002F1CA9" w:rsidRDefault="002F1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32BB" w14:textId="3D83E515" w:rsidR="002F1CA9" w:rsidRDefault="002F1CA9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FBDBD" w14:textId="7D4C8C2E" w:rsidR="002F1CA9" w:rsidRDefault="002F1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E94"/>
    <w:multiLevelType w:val="hybridMultilevel"/>
    <w:tmpl w:val="191CC4D2"/>
    <w:lvl w:ilvl="0" w:tplc="703E6B9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47C3"/>
    <w:multiLevelType w:val="hybridMultilevel"/>
    <w:tmpl w:val="78BA1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02F5"/>
    <w:multiLevelType w:val="hybridMultilevel"/>
    <w:tmpl w:val="52748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E01ED"/>
    <w:multiLevelType w:val="hybridMultilevel"/>
    <w:tmpl w:val="FA6230C0"/>
    <w:lvl w:ilvl="0" w:tplc="703E6B98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6BC9"/>
    <w:multiLevelType w:val="hybridMultilevel"/>
    <w:tmpl w:val="6726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302FD"/>
    <w:multiLevelType w:val="hybridMultilevel"/>
    <w:tmpl w:val="88E0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05CAE"/>
    <w:multiLevelType w:val="hybridMultilevel"/>
    <w:tmpl w:val="B372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F0AF5"/>
    <w:multiLevelType w:val="hybridMultilevel"/>
    <w:tmpl w:val="30185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E2D00"/>
    <w:multiLevelType w:val="hybridMultilevel"/>
    <w:tmpl w:val="04F8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92462"/>
    <w:multiLevelType w:val="hybridMultilevel"/>
    <w:tmpl w:val="ECCA9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812FC"/>
    <w:multiLevelType w:val="hybridMultilevel"/>
    <w:tmpl w:val="0600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A8"/>
    <w:rsid w:val="00002D46"/>
    <w:rsid w:val="00016AF8"/>
    <w:rsid w:val="000444F5"/>
    <w:rsid w:val="00055F11"/>
    <w:rsid w:val="000A70F9"/>
    <w:rsid w:val="000E7A23"/>
    <w:rsid w:val="00152E17"/>
    <w:rsid w:val="001B7A72"/>
    <w:rsid w:val="001F7942"/>
    <w:rsid w:val="00235A90"/>
    <w:rsid w:val="002426C6"/>
    <w:rsid w:val="002E01A2"/>
    <w:rsid w:val="002F1CA9"/>
    <w:rsid w:val="0039774B"/>
    <w:rsid w:val="003C0466"/>
    <w:rsid w:val="003C2C20"/>
    <w:rsid w:val="003E50A0"/>
    <w:rsid w:val="003F3BF9"/>
    <w:rsid w:val="0043780C"/>
    <w:rsid w:val="004864DA"/>
    <w:rsid w:val="0049161C"/>
    <w:rsid w:val="004B5381"/>
    <w:rsid w:val="004C3B75"/>
    <w:rsid w:val="004F60D8"/>
    <w:rsid w:val="005456A3"/>
    <w:rsid w:val="005608CC"/>
    <w:rsid w:val="005F117C"/>
    <w:rsid w:val="006155A0"/>
    <w:rsid w:val="00622073"/>
    <w:rsid w:val="00626D2C"/>
    <w:rsid w:val="006727CD"/>
    <w:rsid w:val="006B5AE7"/>
    <w:rsid w:val="006E3B4B"/>
    <w:rsid w:val="006F6E1D"/>
    <w:rsid w:val="0077041C"/>
    <w:rsid w:val="00773534"/>
    <w:rsid w:val="007A13A4"/>
    <w:rsid w:val="007B355A"/>
    <w:rsid w:val="007C5955"/>
    <w:rsid w:val="007C6930"/>
    <w:rsid w:val="007C7E6E"/>
    <w:rsid w:val="008813AA"/>
    <w:rsid w:val="008E3E99"/>
    <w:rsid w:val="009C4B63"/>
    <w:rsid w:val="00A00444"/>
    <w:rsid w:val="00A27426"/>
    <w:rsid w:val="00A45FE2"/>
    <w:rsid w:val="00A856A8"/>
    <w:rsid w:val="00B90CBC"/>
    <w:rsid w:val="00BB0D6B"/>
    <w:rsid w:val="00BB70E0"/>
    <w:rsid w:val="00BC538E"/>
    <w:rsid w:val="00CB348C"/>
    <w:rsid w:val="00CF744D"/>
    <w:rsid w:val="00D0676C"/>
    <w:rsid w:val="00D13AC2"/>
    <w:rsid w:val="00D5761B"/>
    <w:rsid w:val="00DC5CAF"/>
    <w:rsid w:val="00E51DD9"/>
    <w:rsid w:val="00EB5986"/>
    <w:rsid w:val="00EB6569"/>
    <w:rsid w:val="00EE04A2"/>
    <w:rsid w:val="00EE3814"/>
    <w:rsid w:val="00EE530A"/>
    <w:rsid w:val="00EF2A07"/>
    <w:rsid w:val="00EF4990"/>
    <w:rsid w:val="00F64B4E"/>
    <w:rsid w:val="00F86B32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0B56FC"/>
  <w15:chartTrackingRefBased/>
  <w15:docId w15:val="{25C354AC-2DB1-4C09-8650-1D5B06B6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A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0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2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0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e.ac.u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2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Disability by Contract Type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751837270341206"/>
          <c:y val="0.16036982575973185"/>
          <c:w val="0.81589829396325464"/>
          <c:h val="0.572279487791298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Chart!$B$4</c:f>
              <c:strCache>
                <c:ptCount val="1"/>
                <c:pt idx="0">
                  <c:v>Academic</c:v>
                </c:pt>
              </c:strCache>
            </c:strRef>
          </c:tx>
          <c:spPr>
            <a:solidFill>
              <a:schemeClr val="tx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2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Chart!$A$5:$A$7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Chart!$B$5:$B$7</c:f>
              <c:numCache>
                <c:formatCode>General</c:formatCode>
                <c:ptCount val="3"/>
                <c:pt idx="0">
                  <c:v>23</c:v>
                </c:pt>
                <c:pt idx="1">
                  <c:v>39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70-4980-818D-44AEE83F563F}"/>
            </c:ext>
          </c:extLst>
        </c:ser>
        <c:ser>
          <c:idx val="1"/>
          <c:order val="1"/>
          <c:tx>
            <c:strRef>
              <c:f>Chart!$C$4</c:f>
              <c:strCache>
                <c:ptCount val="1"/>
                <c:pt idx="0">
                  <c:v>Support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2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Chart!$A$5:$A$7</c:f>
              <c:strCache>
                <c:ptCount val="3"/>
                <c:pt idx="0">
                  <c:v>2017-18</c:v>
                </c:pt>
                <c:pt idx="1">
                  <c:v>2018-19</c:v>
                </c:pt>
                <c:pt idx="2">
                  <c:v>2019-20</c:v>
                </c:pt>
              </c:strCache>
            </c:strRef>
          </c:cat>
          <c:val>
            <c:numRef>
              <c:f>Chart!$C$5:$C$7</c:f>
              <c:numCache>
                <c:formatCode>General</c:formatCode>
                <c:ptCount val="3"/>
                <c:pt idx="0">
                  <c:v>42</c:v>
                </c:pt>
                <c:pt idx="1">
                  <c:v>54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70-4980-818D-44AEE83F5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9279560"/>
        <c:axId val="1"/>
      </c:barChart>
      <c:catAx>
        <c:axId val="309279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0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9279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567782152230973"/>
          <c:y val="0.85705973500300425"/>
          <c:w val="0.31531102362204733"/>
          <c:h val="0.11516261897985647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2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20" baseline="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0.01775</cdr:x>
      <cdr:y>0.18976</cdr:y>
    </cdr:from>
    <cdr:to>
      <cdr:x>0.14775</cdr:x>
      <cdr:y>0.31325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1440" y="480060"/>
          <a:ext cx="669646" cy="31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GB" sz="1100">
              <a:solidFill>
                <a:schemeClr val="tx1"/>
              </a:solidFill>
            </a:rPr>
            <a:t>2017-18</a:t>
          </a:r>
        </a:p>
      </cdr:txBody>
    </cdr:sp>
  </cdr:relSizeAnchor>
  <cdr:relSizeAnchor xmlns:cdr="http://schemas.openxmlformats.org/drawingml/2006/chartDrawing">
    <cdr:from>
      <cdr:x>0.01726</cdr:x>
      <cdr:y>0.3755</cdr:y>
    </cdr:from>
    <cdr:to>
      <cdr:x>0.14726</cdr:x>
      <cdr:y>0.49899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897" y="949965"/>
          <a:ext cx="669646" cy="3124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accent5">
                  <a:lumMod val="75000"/>
                </a:schemeClr>
              </a:solidFill>
            </a:rPr>
            <a:t>2018-19</a:t>
          </a:r>
        </a:p>
      </cdr:txBody>
    </cdr:sp>
  </cdr:relSizeAnchor>
  <cdr:relSizeAnchor xmlns:cdr="http://schemas.openxmlformats.org/drawingml/2006/chartDrawing">
    <cdr:from>
      <cdr:x>0.01726</cdr:x>
      <cdr:y>0.56526</cdr:y>
    </cdr:from>
    <cdr:to>
      <cdr:x>0.14726</cdr:x>
      <cdr:y>0.68876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890" y="1430017"/>
          <a:ext cx="669646" cy="3124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GB" sz="1100">
              <a:solidFill>
                <a:schemeClr val="accent6">
                  <a:lumMod val="75000"/>
                </a:schemeClr>
              </a:solidFill>
            </a:rPr>
            <a:t>2019-20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BC93-6BB6-40E8-92CB-1CA52BD5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LEWIN</dc:creator>
  <cp:keywords/>
  <dc:description/>
  <cp:lastModifiedBy>THERESA LEWIN </cp:lastModifiedBy>
  <cp:revision>2</cp:revision>
  <dcterms:created xsi:type="dcterms:W3CDTF">2021-05-13T09:14:00Z</dcterms:created>
  <dcterms:modified xsi:type="dcterms:W3CDTF">2021-05-13T09:14:00Z</dcterms:modified>
</cp:coreProperties>
</file>